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365"/>
        <w:gridCol w:w="4771"/>
      </w:tblGrid>
      <w:tr w:rsidR="004973E6" w:rsidTr="004973E6">
        <w:trPr>
          <w:jc w:val="center"/>
        </w:trPr>
        <w:tc>
          <w:tcPr>
            <w:tcW w:w="5365" w:type="dxa"/>
            <w:tcBorders>
              <w:top w:val="nil"/>
              <w:left w:val="nil"/>
              <w:bottom w:val="single" w:sz="18" w:space="0" w:color="auto"/>
              <w:right w:val="nil"/>
            </w:tcBorders>
            <w:hideMark/>
          </w:tcPr>
          <w:p w:rsidR="004973E6" w:rsidRDefault="004973E6">
            <w:pPr>
              <w:spacing w:before="120" w:after="120"/>
              <w:jc w:val="center"/>
            </w:pPr>
            <w:r>
              <w:rPr>
                <w:noProof/>
              </w:rPr>
              <w:drawing>
                <wp:inline distT="0" distB="0" distL="0" distR="0">
                  <wp:extent cx="3129915" cy="372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9915" cy="372745"/>
                          </a:xfrm>
                          <a:prstGeom prst="rect">
                            <a:avLst/>
                          </a:prstGeom>
                          <a:noFill/>
                          <a:ln>
                            <a:noFill/>
                          </a:ln>
                        </pic:spPr>
                      </pic:pic>
                    </a:graphicData>
                  </a:graphic>
                </wp:inline>
              </w:drawing>
            </w:r>
          </w:p>
        </w:tc>
        <w:tc>
          <w:tcPr>
            <w:tcW w:w="4771" w:type="dxa"/>
            <w:tcBorders>
              <w:top w:val="nil"/>
              <w:left w:val="nil"/>
              <w:bottom w:val="single" w:sz="18" w:space="0" w:color="auto"/>
              <w:right w:val="nil"/>
            </w:tcBorders>
            <w:hideMark/>
          </w:tcPr>
          <w:p w:rsidR="004973E6" w:rsidRDefault="004973E6">
            <w:pPr>
              <w:spacing w:before="120" w:line="192" w:lineRule="auto"/>
              <w:jc w:val="center"/>
              <w:rPr>
                <w:b/>
                <w:sz w:val="28"/>
                <w:szCs w:val="28"/>
              </w:rPr>
            </w:pPr>
            <w:r>
              <w:rPr>
                <w:b/>
                <w:sz w:val="28"/>
                <w:szCs w:val="28"/>
              </w:rPr>
              <w:t>Department of Otolaryngology</w:t>
            </w:r>
          </w:p>
          <w:p w:rsidR="004973E6" w:rsidRDefault="004973E6">
            <w:pPr>
              <w:spacing w:after="120" w:line="192" w:lineRule="auto"/>
              <w:jc w:val="center"/>
            </w:pPr>
            <w:r>
              <w:rPr>
                <w:b/>
                <w:sz w:val="28"/>
                <w:szCs w:val="28"/>
              </w:rPr>
              <w:t>Head &amp; Neck Surgery</w:t>
            </w:r>
          </w:p>
        </w:tc>
      </w:tr>
    </w:tbl>
    <w:p w:rsidR="00CE73E5" w:rsidRPr="006C273F" w:rsidRDefault="00D01A5E" w:rsidP="00537709">
      <w:pPr>
        <w:spacing w:after="0" w:line="240" w:lineRule="auto"/>
        <w:jc w:val="center"/>
        <w:rPr>
          <w:b/>
          <w:sz w:val="24"/>
          <w:szCs w:val="24"/>
        </w:rPr>
      </w:pPr>
      <w:r w:rsidRPr="006C273F">
        <w:rPr>
          <w:b/>
          <w:sz w:val="24"/>
          <w:szCs w:val="24"/>
        </w:rPr>
        <w:t>Advanced Research Training in Otolaryngology Program (ARTOP)</w:t>
      </w:r>
    </w:p>
    <w:p w:rsidR="00D01A5E" w:rsidRPr="006C273F" w:rsidRDefault="00D01A5E" w:rsidP="005A3B95">
      <w:pPr>
        <w:spacing w:after="0" w:line="240" w:lineRule="auto"/>
        <w:jc w:val="center"/>
        <w:rPr>
          <w:b/>
          <w:sz w:val="24"/>
          <w:szCs w:val="24"/>
        </w:rPr>
      </w:pPr>
      <w:r w:rsidRPr="006C273F">
        <w:rPr>
          <w:b/>
          <w:sz w:val="24"/>
          <w:szCs w:val="24"/>
        </w:rPr>
        <w:t>Training Grant (T32 DC005356)</w:t>
      </w:r>
    </w:p>
    <w:p w:rsidR="00D01A5E" w:rsidRPr="006C273F" w:rsidRDefault="006F163F" w:rsidP="006C273F">
      <w:pPr>
        <w:spacing w:after="0" w:line="192" w:lineRule="auto"/>
        <w:jc w:val="center"/>
        <w:rPr>
          <w:sz w:val="20"/>
          <w:szCs w:val="20"/>
        </w:rPr>
      </w:pPr>
      <w:r>
        <w:rPr>
          <w:sz w:val="20"/>
          <w:szCs w:val="20"/>
        </w:rPr>
        <w:t xml:space="preserve">Gabriel </w:t>
      </w:r>
      <w:proofErr w:type="spellStart"/>
      <w:r>
        <w:rPr>
          <w:sz w:val="20"/>
          <w:szCs w:val="20"/>
        </w:rPr>
        <w:t>Corfas</w:t>
      </w:r>
      <w:proofErr w:type="spellEnd"/>
      <w:r>
        <w:rPr>
          <w:sz w:val="20"/>
          <w:szCs w:val="20"/>
        </w:rPr>
        <w:t>, Ph</w:t>
      </w:r>
      <w:r w:rsidR="00D01A5E" w:rsidRPr="006C273F">
        <w:rPr>
          <w:sz w:val="20"/>
          <w:szCs w:val="20"/>
        </w:rPr>
        <w:t>.D., Director</w:t>
      </w:r>
    </w:p>
    <w:p w:rsidR="00D01A5E" w:rsidRPr="006C273F" w:rsidRDefault="006F163F" w:rsidP="006C273F">
      <w:pPr>
        <w:spacing w:after="120" w:line="192" w:lineRule="auto"/>
        <w:jc w:val="center"/>
        <w:rPr>
          <w:sz w:val="20"/>
          <w:szCs w:val="20"/>
        </w:rPr>
      </w:pPr>
      <w:r>
        <w:rPr>
          <w:sz w:val="20"/>
          <w:szCs w:val="20"/>
        </w:rPr>
        <w:t>Andrew Shuman</w:t>
      </w:r>
      <w:r w:rsidR="00D01A5E" w:rsidRPr="006C273F">
        <w:rPr>
          <w:sz w:val="20"/>
          <w:szCs w:val="20"/>
        </w:rPr>
        <w:t>, M.D., Co-Director</w:t>
      </w:r>
    </w:p>
    <w:p w:rsidR="00537709" w:rsidRPr="00F23847" w:rsidRDefault="007E0AE0" w:rsidP="006C273F">
      <w:pPr>
        <w:spacing w:after="120"/>
        <w:jc w:val="center"/>
        <w:rPr>
          <w:b/>
          <w:color w:val="365F91" w:themeColor="accent1" w:themeShade="BF"/>
          <w:sz w:val="32"/>
          <w:szCs w:val="32"/>
        </w:rPr>
      </w:pPr>
      <w:r w:rsidRPr="00F23847">
        <w:rPr>
          <w:b/>
          <w:color w:val="365F91" w:themeColor="accent1" w:themeShade="BF"/>
          <w:sz w:val="32"/>
          <w:szCs w:val="32"/>
        </w:rPr>
        <w:t>PRE</w:t>
      </w:r>
      <w:r w:rsidR="007E2E17" w:rsidRPr="00F23847">
        <w:rPr>
          <w:b/>
          <w:color w:val="365F91" w:themeColor="accent1" w:themeShade="BF"/>
          <w:sz w:val="32"/>
          <w:szCs w:val="32"/>
        </w:rPr>
        <w:t>-</w:t>
      </w:r>
      <w:r w:rsidR="006C273F" w:rsidRPr="00F23847">
        <w:rPr>
          <w:b/>
          <w:color w:val="365F91" w:themeColor="accent1" w:themeShade="BF"/>
          <w:sz w:val="32"/>
          <w:szCs w:val="32"/>
        </w:rPr>
        <w:t>DOCTORAL FACT SHEET</w:t>
      </w:r>
    </w:p>
    <w:p w:rsidR="00D01A5E" w:rsidRPr="00FD5CCC" w:rsidRDefault="00FD5CCC" w:rsidP="00EA152B">
      <w:pPr>
        <w:spacing w:after="0" w:line="20" w:lineRule="atLeast"/>
        <w:ind w:left="-270" w:right="-216"/>
        <w:rPr>
          <w:b/>
        </w:rPr>
      </w:pPr>
      <w:r w:rsidRPr="00FD5CCC">
        <w:rPr>
          <w:b/>
        </w:rPr>
        <w:t>THE PROGRAM</w:t>
      </w:r>
    </w:p>
    <w:p w:rsidR="00FD5CCC" w:rsidRPr="00344317" w:rsidRDefault="00FD5CCC" w:rsidP="00EA152B">
      <w:pPr>
        <w:spacing w:after="120" w:line="20" w:lineRule="atLeast"/>
        <w:ind w:left="-270" w:right="-216"/>
        <w:jc w:val="both"/>
        <w:rPr>
          <w:sz w:val="20"/>
          <w:szCs w:val="20"/>
        </w:rPr>
      </w:pPr>
      <w:r w:rsidRPr="00344317">
        <w:rPr>
          <w:sz w:val="20"/>
          <w:szCs w:val="20"/>
        </w:rPr>
        <w:t>The Advanced Research Training in Otolaryngology Program (ARTOP) at the University of Michigan has provided research experiences supported by the National Institutes of Health (NIH) since 1987.  The UM Department of Otolaryngology-Head &amp; Neck Surgery has a long history of pioneering research and will provide a stimulating and supportive environment to individuals interested in pursuing advanced research training and an academic career in Otolaryngology-Head &amp; Neck Surgery.</w:t>
      </w:r>
    </w:p>
    <w:p w:rsidR="00FD5CCC" w:rsidRPr="00FD5CCC" w:rsidRDefault="00FD5CCC" w:rsidP="00EA152B">
      <w:pPr>
        <w:spacing w:after="0" w:line="240" w:lineRule="auto"/>
        <w:ind w:left="-270" w:right="-216"/>
        <w:rPr>
          <w:b/>
        </w:rPr>
      </w:pPr>
      <w:r w:rsidRPr="00FD5CCC">
        <w:rPr>
          <w:b/>
        </w:rPr>
        <w:t>GOALS</w:t>
      </w:r>
    </w:p>
    <w:p w:rsidR="00FD5CCC" w:rsidRPr="00344317" w:rsidRDefault="002460AB" w:rsidP="00EA152B">
      <w:pPr>
        <w:spacing w:after="120" w:line="240" w:lineRule="auto"/>
        <w:ind w:left="-270" w:right="-216"/>
        <w:jc w:val="both"/>
        <w:rPr>
          <w:sz w:val="20"/>
          <w:szCs w:val="20"/>
        </w:rPr>
      </w:pPr>
      <w:r>
        <w:rPr>
          <w:sz w:val="20"/>
          <w:szCs w:val="20"/>
        </w:rPr>
        <w:t>The goal for the pre</w:t>
      </w:r>
      <w:r w:rsidR="007E2E17">
        <w:rPr>
          <w:sz w:val="20"/>
          <w:szCs w:val="20"/>
        </w:rPr>
        <w:t>-</w:t>
      </w:r>
      <w:r w:rsidR="00723077">
        <w:rPr>
          <w:sz w:val="20"/>
          <w:szCs w:val="20"/>
        </w:rPr>
        <w:t>doctoral trainee</w:t>
      </w:r>
      <w:r w:rsidR="00FD5CCC" w:rsidRPr="00344317">
        <w:rPr>
          <w:sz w:val="20"/>
          <w:szCs w:val="20"/>
        </w:rPr>
        <w:t xml:space="preserve"> on this training grant are to provide </w:t>
      </w:r>
      <w:proofErr w:type="gramStart"/>
      <w:r w:rsidR="00FD5CCC" w:rsidRPr="00300E6B">
        <w:rPr>
          <w:b/>
          <w:sz w:val="20"/>
          <w:szCs w:val="20"/>
        </w:rPr>
        <w:t>1 year</w:t>
      </w:r>
      <w:proofErr w:type="gramEnd"/>
      <w:r w:rsidR="00FD5CCC" w:rsidRPr="00300E6B">
        <w:rPr>
          <w:b/>
          <w:sz w:val="20"/>
          <w:szCs w:val="20"/>
        </w:rPr>
        <w:t xml:space="preserve"> </w:t>
      </w:r>
      <w:r w:rsidR="00FD5CCC" w:rsidRPr="00344317">
        <w:rPr>
          <w:sz w:val="20"/>
          <w:szCs w:val="20"/>
        </w:rPr>
        <w:t xml:space="preserve">research experiences for </w:t>
      </w:r>
      <w:r w:rsidR="00723077">
        <w:rPr>
          <w:sz w:val="20"/>
          <w:szCs w:val="20"/>
        </w:rPr>
        <w:t xml:space="preserve">one </w:t>
      </w:r>
      <w:r w:rsidR="002763B9" w:rsidRPr="00307BF4">
        <w:rPr>
          <w:sz w:val="20"/>
          <w:szCs w:val="20"/>
        </w:rPr>
        <w:t xml:space="preserve">pre-doctoral student pursuing their PhD or MD/PhD in a University of Michigan graduate program </w:t>
      </w:r>
      <w:r w:rsidR="00FD5CCC" w:rsidRPr="00307BF4">
        <w:rPr>
          <w:sz w:val="20"/>
          <w:szCs w:val="20"/>
        </w:rPr>
        <w:t xml:space="preserve">interested in otolaryngology, in order to encourage pursuit of </w:t>
      </w:r>
      <w:r w:rsidR="002763B9" w:rsidRPr="00307BF4">
        <w:rPr>
          <w:sz w:val="20"/>
          <w:szCs w:val="20"/>
        </w:rPr>
        <w:t>research training and</w:t>
      </w:r>
      <w:r w:rsidR="00FD5CCC" w:rsidRPr="00307BF4">
        <w:rPr>
          <w:sz w:val="20"/>
          <w:szCs w:val="20"/>
        </w:rPr>
        <w:t xml:space="preserve"> promote academic careers.</w:t>
      </w:r>
      <w:bookmarkStart w:id="0" w:name="_GoBack"/>
      <w:bookmarkEnd w:id="0"/>
    </w:p>
    <w:p w:rsidR="00FD5CCC" w:rsidRPr="00FD5CCC" w:rsidRDefault="00FD5CCC" w:rsidP="00EA152B">
      <w:pPr>
        <w:spacing w:after="0" w:line="240" w:lineRule="auto"/>
        <w:ind w:left="-270" w:right="-216"/>
        <w:rPr>
          <w:b/>
        </w:rPr>
      </w:pPr>
      <w:r w:rsidRPr="00FD5CCC">
        <w:rPr>
          <w:b/>
        </w:rPr>
        <w:t>ELIGIBILITY</w:t>
      </w:r>
    </w:p>
    <w:p w:rsidR="00FD5CCC" w:rsidRPr="00344317" w:rsidRDefault="00FD5CCC" w:rsidP="00EA152B">
      <w:pPr>
        <w:spacing w:after="120" w:line="240" w:lineRule="auto"/>
        <w:ind w:left="-270" w:right="-216"/>
        <w:jc w:val="both"/>
        <w:rPr>
          <w:sz w:val="20"/>
          <w:szCs w:val="20"/>
        </w:rPr>
      </w:pPr>
      <w:r w:rsidRPr="00344317">
        <w:rPr>
          <w:sz w:val="20"/>
          <w:szCs w:val="20"/>
        </w:rPr>
        <w:t>All individuals supported by this grant mechanism must be US citizens or permanent residents holding a green card.  Individuals on temporary or student visas are not eligible.</w:t>
      </w:r>
    </w:p>
    <w:p w:rsidR="00FD5CCC" w:rsidRPr="00FD5CCC" w:rsidRDefault="00FD5CCC" w:rsidP="00EA152B">
      <w:pPr>
        <w:spacing w:after="0" w:line="240" w:lineRule="auto"/>
        <w:ind w:left="-270" w:right="-216"/>
        <w:rPr>
          <w:b/>
        </w:rPr>
      </w:pPr>
      <w:r w:rsidRPr="00FD5CCC">
        <w:rPr>
          <w:b/>
        </w:rPr>
        <w:t>CRITERIA</w:t>
      </w:r>
    </w:p>
    <w:p w:rsidR="00FD5CCC" w:rsidRPr="00344317" w:rsidRDefault="00FD5CCC" w:rsidP="00EA152B">
      <w:pPr>
        <w:pStyle w:val="ListParagraph"/>
        <w:numPr>
          <w:ilvl w:val="0"/>
          <w:numId w:val="1"/>
        </w:numPr>
        <w:spacing w:after="0" w:line="240" w:lineRule="auto"/>
        <w:ind w:left="-90" w:right="-216" w:hanging="180"/>
        <w:rPr>
          <w:sz w:val="20"/>
          <w:szCs w:val="20"/>
        </w:rPr>
      </w:pPr>
      <w:r w:rsidRPr="00344317">
        <w:rPr>
          <w:sz w:val="20"/>
          <w:szCs w:val="20"/>
        </w:rPr>
        <w:t>Quality of academic credentials and previous research training, if applicable.</w:t>
      </w:r>
    </w:p>
    <w:p w:rsidR="00FD5CCC" w:rsidRPr="00344317" w:rsidRDefault="00FD5CCC" w:rsidP="00EA152B">
      <w:pPr>
        <w:pStyle w:val="ListParagraph"/>
        <w:numPr>
          <w:ilvl w:val="0"/>
          <w:numId w:val="1"/>
        </w:numPr>
        <w:spacing w:after="0" w:line="240" w:lineRule="auto"/>
        <w:ind w:left="-90" w:right="-216" w:hanging="180"/>
        <w:jc w:val="both"/>
        <w:rPr>
          <w:sz w:val="20"/>
          <w:szCs w:val="20"/>
        </w:rPr>
      </w:pPr>
      <w:r w:rsidRPr="00344317">
        <w:rPr>
          <w:sz w:val="20"/>
          <w:szCs w:val="20"/>
        </w:rPr>
        <w:t>Strong interest in the areas of hearing, taste, smell, voice, communication disorders, neuroscience, and related cellular biology.</w:t>
      </w:r>
    </w:p>
    <w:p w:rsidR="00FD5CCC" w:rsidRDefault="00FD5CCC" w:rsidP="00EA152B">
      <w:pPr>
        <w:pStyle w:val="ListParagraph"/>
        <w:numPr>
          <w:ilvl w:val="0"/>
          <w:numId w:val="1"/>
        </w:numPr>
        <w:spacing w:after="0" w:line="240" w:lineRule="auto"/>
        <w:ind w:left="-90" w:right="-216" w:hanging="180"/>
        <w:rPr>
          <w:sz w:val="20"/>
          <w:szCs w:val="20"/>
        </w:rPr>
      </w:pPr>
      <w:r w:rsidRPr="00344317">
        <w:rPr>
          <w:sz w:val="20"/>
          <w:szCs w:val="20"/>
        </w:rPr>
        <w:t>Potential for future research and academic career as a scientist.</w:t>
      </w:r>
    </w:p>
    <w:p w:rsidR="005A3B95" w:rsidRPr="00537709" w:rsidRDefault="005A3B95" w:rsidP="00EA152B">
      <w:pPr>
        <w:pStyle w:val="ListParagraph"/>
        <w:spacing w:after="0" w:line="240" w:lineRule="auto"/>
        <w:ind w:left="-270" w:right="-216"/>
        <w:rPr>
          <w:sz w:val="16"/>
          <w:szCs w:val="16"/>
        </w:rPr>
      </w:pPr>
    </w:p>
    <w:p w:rsidR="00344317" w:rsidRPr="00344317" w:rsidRDefault="00344317" w:rsidP="00EA152B">
      <w:pPr>
        <w:pStyle w:val="ListParagraph"/>
        <w:spacing w:before="240" w:after="0" w:line="240" w:lineRule="auto"/>
        <w:ind w:left="-270" w:right="-216"/>
        <w:rPr>
          <w:b/>
        </w:rPr>
      </w:pPr>
      <w:r w:rsidRPr="00344317">
        <w:rPr>
          <w:b/>
        </w:rPr>
        <w:t>STIPEND SUPPORT</w:t>
      </w:r>
    </w:p>
    <w:p w:rsidR="00344317" w:rsidRDefault="00917E19" w:rsidP="00EA152B">
      <w:pPr>
        <w:pStyle w:val="ListParagraph"/>
        <w:spacing w:after="240" w:line="240" w:lineRule="auto"/>
        <w:ind w:left="-270" w:right="-216"/>
        <w:jc w:val="both"/>
        <w:rPr>
          <w:sz w:val="20"/>
          <w:szCs w:val="20"/>
        </w:rPr>
      </w:pPr>
      <w:r>
        <w:rPr>
          <w:sz w:val="20"/>
          <w:szCs w:val="20"/>
        </w:rPr>
        <w:t>Pre</w:t>
      </w:r>
      <w:r w:rsidR="007E2E17">
        <w:rPr>
          <w:sz w:val="20"/>
          <w:szCs w:val="20"/>
        </w:rPr>
        <w:t>-</w:t>
      </w:r>
      <w:r w:rsidR="00723077">
        <w:rPr>
          <w:sz w:val="20"/>
          <w:szCs w:val="20"/>
        </w:rPr>
        <w:t>doctoral trainee</w:t>
      </w:r>
      <w:r w:rsidR="002763B9">
        <w:rPr>
          <w:sz w:val="20"/>
          <w:szCs w:val="20"/>
        </w:rPr>
        <w:t xml:space="preserve"> will</w:t>
      </w:r>
      <w:r w:rsidR="00344317" w:rsidRPr="00344317">
        <w:rPr>
          <w:sz w:val="20"/>
          <w:szCs w:val="20"/>
        </w:rPr>
        <w:t xml:space="preserve"> receive a stipend, travel</w:t>
      </w:r>
      <w:r w:rsidR="002763B9">
        <w:rPr>
          <w:sz w:val="20"/>
          <w:szCs w:val="20"/>
        </w:rPr>
        <w:t xml:space="preserve"> funds</w:t>
      </w:r>
      <w:r w:rsidR="00344317" w:rsidRPr="00344317">
        <w:rPr>
          <w:sz w:val="20"/>
          <w:szCs w:val="20"/>
        </w:rPr>
        <w:t xml:space="preserve"> to one meeting, and trainee-related expenses which includes health insuran</w:t>
      </w:r>
      <w:r w:rsidR="00344317">
        <w:rPr>
          <w:sz w:val="20"/>
          <w:szCs w:val="20"/>
        </w:rPr>
        <w:t>ce according to NIH guidelines.</w:t>
      </w:r>
    </w:p>
    <w:p w:rsidR="00344317" w:rsidRPr="00344317" w:rsidRDefault="00344317" w:rsidP="00EA152B">
      <w:pPr>
        <w:pStyle w:val="ListParagraph"/>
        <w:spacing w:after="240"/>
        <w:ind w:left="-270" w:right="-216"/>
        <w:rPr>
          <w:sz w:val="16"/>
          <w:szCs w:val="16"/>
        </w:rPr>
      </w:pPr>
    </w:p>
    <w:p w:rsidR="00344317" w:rsidRPr="00344317" w:rsidRDefault="00344317" w:rsidP="00EA152B">
      <w:pPr>
        <w:pStyle w:val="ListParagraph"/>
        <w:spacing w:after="0" w:line="240" w:lineRule="auto"/>
        <w:ind w:left="-270" w:right="-216"/>
        <w:rPr>
          <w:b/>
        </w:rPr>
      </w:pPr>
      <w:r w:rsidRPr="00344317">
        <w:rPr>
          <w:b/>
        </w:rPr>
        <w:t>YOUR RESEARCH EXPERIENCE</w:t>
      </w:r>
    </w:p>
    <w:p w:rsidR="00344317" w:rsidRPr="00344317" w:rsidRDefault="00344317" w:rsidP="00EA152B">
      <w:pPr>
        <w:pStyle w:val="ListParagraph"/>
        <w:spacing w:after="0" w:line="240" w:lineRule="auto"/>
        <w:ind w:left="-270" w:right="-216"/>
        <w:jc w:val="both"/>
        <w:rPr>
          <w:sz w:val="20"/>
          <w:szCs w:val="20"/>
        </w:rPr>
      </w:pPr>
      <w:r w:rsidRPr="00344317">
        <w:rPr>
          <w:sz w:val="20"/>
          <w:szCs w:val="20"/>
        </w:rPr>
        <w:t>Your research experience will include:</w:t>
      </w:r>
    </w:p>
    <w:p w:rsidR="00344317" w:rsidRPr="00344317" w:rsidRDefault="00344317" w:rsidP="00EA152B">
      <w:pPr>
        <w:pStyle w:val="ListParagraph"/>
        <w:numPr>
          <w:ilvl w:val="0"/>
          <w:numId w:val="2"/>
        </w:numPr>
        <w:spacing w:after="0" w:line="240" w:lineRule="auto"/>
        <w:ind w:left="-90" w:right="-216" w:hanging="180"/>
        <w:jc w:val="both"/>
        <w:rPr>
          <w:sz w:val="20"/>
          <w:szCs w:val="20"/>
        </w:rPr>
      </w:pPr>
      <w:r w:rsidRPr="00344317">
        <w:rPr>
          <w:sz w:val="20"/>
          <w:szCs w:val="20"/>
        </w:rPr>
        <w:t>Performing clinical or basic science research on a project of scientific significance in the area of hearing, taste, smell, voice, communication disorders, neuroscience, or related cellular biology.</w:t>
      </w:r>
    </w:p>
    <w:p w:rsidR="00344317" w:rsidRPr="00344317" w:rsidRDefault="00344317" w:rsidP="00EA152B">
      <w:pPr>
        <w:pStyle w:val="ListParagraph"/>
        <w:numPr>
          <w:ilvl w:val="0"/>
          <w:numId w:val="2"/>
        </w:numPr>
        <w:spacing w:after="0" w:line="240" w:lineRule="auto"/>
        <w:ind w:left="-90" w:right="-216" w:hanging="180"/>
        <w:jc w:val="both"/>
        <w:rPr>
          <w:sz w:val="20"/>
          <w:szCs w:val="20"/>
        </w:rPr>
      </w:pPr>
      <w:r w:rsidRPr="00344317">
        <w:rPr>
          <w:sz w:val="20"/>
          <w:szCs w:val="20"/>
        </w:rPr>
        <w:t>Formulating a research proposal for approval by the departmental Research Committee.</w:t>
      </w:r>
    </w:p>
    <w:p w:rsidR="00344317" w:rsidRPr="00344317" w:rsidRDefault="00344317" w:rsidP="00EA152B">
      <w:pPr>
        <w:pStyle w:val="ListParagraph"/>
        <w:numPr>
          <w:ilvl w:val="0"/>
          <w:numId w:val="2"/>
        </w:numPr>
        <w:spacing w:after="0" w:line="240" w:lineRule="auto"/>
        <w:ind w:left="-90" w:right="-216" w:hanging="180"/>
        <w:jc w:val="both"/>
        <w:rPr>
          <w:sz w:val="20"/>
          <w:szCs w:val="20"/>
        </w:rPr>
      </w:pPr>
      <w:r w:rsidRPr="00344317">
        <w:rPr>
          <w:sz w:val="20"/>
          <w:szCs w:val="20"/>
        </w:rPr>
        <w:t>Gaining scientific knowledge base and laboratory skills needed to prepare for and complete the research project.</w:t>
      </w:r>
    </w:p>
    <w:p w:rsidR="00344317" w:rsidRDefault="00344317" w:rsidP="00EA152B">
      <w:pPr>
        <w:pStyle w:val="ListParagraph"/>
        <w:numPr>
          <w:ilvl w:val="0"/>
          <w:numId w:val="2"/>
        </w:numPr>
        <w:spacing w:after="0" w:line="240" w:lineRule="auto"/>
        <w:ind w:left="-90" w:right="-216" w:hanging="180"/>
        <w:jc w:val="both"/>
        <w:rPr>
          <w:sz w:val="20"/>
          <w:szCs w:val="20"/>
        </w:rPr>
      </w:pPr>
      <w:r>
        <w:rPr>
          <w:sz w:val="20"/>
          <w:szCs w:val="20"/>
        </w:rPr>
        <w:t>Preparing a presentation with research collaborators and pursue publication in a suitable peer-reviewed journal.</w:t>
      </w:r>
    </w:p>
    <w:p w:rsidR="00344317" w:rsidRDefault="00344317" w:rsidP="00EA152B">
      <w:pPr>
        <w:pStyle w:val="ListParagraph"/>
        <w:numPr>
          <w:ilvl w:val="0"/>
          <w:numId w:val="2"/>
        </w:numPr>
        <w:spacing w:after="0" w:line="240" w:lineRule="auto"/>
        <w:ind w:left="-90" w:right="-216" w:hanging="180"/>
        <w:jc w:val="both"/>
        <w:rPr>
          <w:sz w:val="20"/>
          <w:szCs w:val="20"/>
        </w:rPr>
      </w:pPr>
      <w:r>
        <w:rPr>
          <w:sz w:val="20"/>
          <w:szCs w:val="20"/>
        </w:rPr>
        <w:t>Presenting research project at local and national meetings.  Attend seminars and journal club meetings.</w:t>
      </w:r>
    </w:p>
    <w:p w:rsidR="00344317" w:rsidRDefault="00344317" w:rsidP="00EA152B">
      <w:pPr>
        <w:pStyle w:val="ListParagraph"/>
        <w:numPr>
          <w:ilvl w:val="0"/>
          <w:numId w:val="2"/>
        </w:numPr>
        <w:spacing w:after="0" w:line="240" w:lineRule="auto"/>
        <w:ind w:left="-90" w:right="-216" w:hanging="180"/>
        <w:jc w:val="both"/>
        <w:rPr>
          <w:sz w:val="20"/>
          <w:szCs w:val="20"/>
        </w:rPr>
      </w:pPr>
      <w:r>
        <w:rPr>
          <w:sz w:val="20"/>
          <w:szCs w:val="20"/>
        </w:rPr>
        <w:t>Attending Clinician-Scientists meetings dedicated to topics such as writing grants, writing papers, reviewing papers and serving on editorial boards, presenting at meetings, running a laboratory, balancin</w:t>
      </w:r>
      <w:r w:rsidR="00F55FFB">
        <w:rPr>
          <w:sz w:val="20"/>
          <w:szCs w:val="20"/>
        </w:rPr>
        <w:t>g clinic and research</w:t>
      </w:r>
      <w:r>
        <w:rPr>
          <w:sz w:val="20"/>
          <w:szCs w:val="20"/>
        </w:rPr>
        <w:t>.</w:t>
      </w:r>
    </w:p>
    <w:p w:rsidR="00537709" w:rsidRPr="00537709" w:rsidRDefault="00537709" w:rsidP="00EA152B">
      <w:pPr>
        <w:pStyle w:val="ListParagraph"/>
        <w:spacing w:after="0" w:line="240" w:lineRule="auto"/>
        <w:ind w:left="-270" w:right="-216"/>
        <w:jc w:val="both"/>
        <w:rPr>
          <w:sz w:val="16"/>
          <w:szCs w:val="16"/>
        </w:rPr>
      </w:pPr>
    </w:p>
    <w:p w:rsidR="00344317" w:rsidRPr="00344317" w:rsidRDefault="00344317" w:rsidP="00EA152B">
      <w:pPr>
        <w:pStyle w:val="ListParagraph"/>
        <w:spacing w:after="0" w:line="240" w:lineRule="auto"/>
        <w:ind w:left="-270" w:right="-216"/>
        <w:rPr>
          <w:b/>
        </w:rPr>
      </w:pPr>
      <w:r w:rsidRPr="00344317">
        <w:rPr>
          <w:b/>
        </w:rPr>
        <w:t>MENTORS</w:t>
      </w:r>
    </w:p>
    <w:p w:rsidR="00344317" w:rsidRDefault="00344317" w:rsidP="00EA152B">
      <w:pPr>
        <w:pStyle w:val="ListParagraph"/>
        <w:spacing w:after="0" w:line="240" w:lineRule="auto"/>
        <w:ind w:left="-270" w:right="-216"/>
        <w:jc w:val="both"/>
        <w:rPr>
          <w:sz w:val="20"/>
          <w:szCs w:val="20"/>
        </w:rPr>
      </w:pPr>
      <w:r>
        <w:rPr>
          <w:sz w:val="20"/>
          <w:szCs w:val="20"/>
        </w:rPr>
        <w:t>Mentors have been selected from our internationally-recognized faculty consisting of both basic and clinical researchers in a broad variety of disciplines.  Many faculty mentors are themselves accomplished clinician-scientists who are in demand as research mentors. A complete list of mentors with links to their research can be found on the ARTOP website.  Choosing other mentors is permissible if able to demonstrate adequate funding to supplement the trainees and provide a sufficient mentoring experience.  Major focuses of research include:</w:t>
      </w:r>
    </w:p>
    <w:p w:rsidR="00344317" w:rsidRDefault="005A3B95" w:rsidP="00EA152B">
      <w:pPr>
        <w:pStyle w:val="ListParagraph"/>
        <w:numPr>
          <w:ilvl w:val="0"/>
          <w:numId w:val="3"/>
        </w:numPr>
        <w:spacing w:after="0" w:line="240" w:lineRule="auto"/>
        <w:ind w:left="-90" w:right="-216" w:hanging="180"/>
        <w:rPr>
          <w:sz w:val="20"/>
          <w:szCs w:val="20"/>
        </w:rPr>
      </w:pPr>
      <w:r>
        <w:rPr>
          <w:sz w:val="20"/>
          <w:szCs w:val="20"/>
        </w:rPr>
        <w:t>Molecular Genetics of Hearing and Hearing Loss</w:t>
      </w:r>
    </w:p>
    <w:p w:rsidR="005A3B95" w:rsidRDefault="005A3B95" w:rsidP="00EA152B">
      <w:pPr>
        <w:pStyle w:val="ListParagraph"/>
        <w:numPr>
          <w:ilvl w:val="0"/>
          <w:numId w:val="3"/>
        </w:numPr>
        <w:spacing w:after="0" w:line="240" w:lineRule="auto"/>
        <w:ind w:left="-90" w:right="-216" w:hanging="180"/>
        <w:rPr>
          <w:sz w:val="20"/>
          <w:szCs w:val="20"/>
        </w:rPr>
      </w:pPr>
      <w:r>
        <w:rPr>
          <w:sz w:val="20"/>
          <w:szCs w:val="20"/>
        </w:rPr>
        <w:t>Central Nervous System (CNS) Plasticity/Auditory Prostheses</w:t>
      </w:r>
    </w:p>
    <w:p w:rsidR="005A3B95" w:rsidRDefault="005A3B95" w:rsidP="00EA152B">
      <w:pPr>
        <w:pStyle w:val="ListParagraph"/>
        <w:numPr>
          <w:ilvl w:val="0"/>
          <w:numId w:val="3"/>
        </w:numPr>
        <w:spacing w:after="0" w:line="240" w:lineRule="auto"/>
        <w:ind w:left="-90" w:right="-216" w:hanging="180"/>
        <w:rPr>
          <w:sz w:val="20"/>
          <w:szCs w:val="20"/>
        </w:rPr>
      </w:pPr>
      <w:r>
        <w:rPr>
          <w:sz w:val="20"/>
          <w:szCs w:val="20"/>
        </w:rPr>
        <w:t>Tissue Bioengineering/Neural Regeneration</w:t>
      </w:r>
    </w:p>
    <w:p w:rsidR="005A3B95" w:rsidRPr="00344317" w:rsidRDefault="005A3B95" w:rsidP="00EA152B">
      <w:pPr>
        <w:pStyle w:val="ListParagraph"/>
        <w:numPr>
          <w:ilvl w:val="0"/>
          <w:numId w:val="3"/>
        </w:numPr>
        <w:spacing w:after="0" w:line="240" w:lineRule="auto"/>
        <w:ind w:left="-90" w:right="-216" w:hanging="180"/>
        <w:rPr>
          <w:sz w:val="20"/>
          <w:szCs w:val="20"/>
        </w:rPr>
      </w:pPr>
      <w:r>
        <w:rPr>
          <w:sz w:val="20"/>
          <w:szCs w:val="20"/>
        </w:rPr>
        <w:t>Head and Neck Oncology</w:t>
      </w:r>
    </w:p>
    <w:sectPr w:rsidR="005A3B95" w:rsidRPr="00344317" w:rsidSect="00D01A5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67502"/>
    <w:multiLevelType w:val="hybridMultilevel"/>
    <w:tmpl w:val="19E2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D45846"/>
    <w:multiLevelType w:val="hybridMultilevel"/>
    <w:tmpl w:val="9806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A3298F"/>
    <w:multiLevelType w:val="hybridMultilevel"/>
    <w:tmpl w:val="297C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96"/>
    <w:rsid w:val="00170196"/>
    <w:rsid w:val="00214F9B"/>
    <w:rsid w:val="002460AB"/>
    <w:rsid w:val="002763B9"/>
    <w:rsid w:val="00300E6B"/>
    <w:rsid w:val="00307BF4"/>
    <w:rsid w:val="00344317"/>
    <w:rsid w:val="004973E6"/>
    <w:rsid w:val="00537709"/>
    <w:rsid w:val="005A3B95"/>
    <w:rsid w:val="006C273F"/>
    <w:rsid w:val="006F163F"/>
    <w:rsid w:val="00713438"/>
    <w:rsid w:val="00723077"/>
    <w:rsid w:val="007E0AE0"/>
    <w:rsid w:val="007E2E17"/>
    <w:rsid w:val="00917E19"/>
    <w:rsid w:val="009B465A"/>
    <w:rsid w:val="00B56EDB"/>
    <w:rsid w:val="00CE73E5"/>
    <w:rsid w:val="00D01A5E"/>
    <w:rsid w:val="00D76764"/>
    <w:rsid w:val="00EA152B"/>
    <w:rsid w:val="00F23847"/>
    <w:rsid w:val="00F55FFB"/>
    <w:rsid w:val="00FD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7C52"/>
  <w15:docId w15:val="{B29CCCD6-1DAE-40BE-B1EF-1A2580FA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0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CCC"/>
    <w:pPr>
      <w:ind w:left="720"/>
      <w:contextualSpacing/>
    </w:pPr>
  </w:style>
  <w:style w:type="paragraph" w:styleId="BalloonText">
    <w:name w:val="Balloon Text"/>
    <w:basedOn w:val="Normal"/>
    <w:link w:val="BalloonTextChar"/>
    <w:uiPriority w:val="99"/>
    <w:semiHidden/>
    <w:unhideWhenUsed/>
    <w:rsid w:val="00B56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Jacqueline</dc:creator>
  <cp:lastModifiedBy>Blake, Jackie</cp:lastModifiedBy>
  <cp:revision>8</cp:revision>
  <cp:lastPrinted>2013-02-14T13:54:00Z</cp:lastPrinted>
  <dcterms:created xsi:type="dcterms:W3CDTF">2017-02-28T19:15:00Z</dcterms:created>
  <dcterms:modified xsi:type="dcterms:W3CDTF">2018-11-01T15:06:00Z</dcterms:modified>
</cp:coreProperties>
</file>